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3A1" w:rsidRDefault="001803A1" w:rsidP="006707A7">
      <w:pPr>
        <w:rPr>
          <w:b/>
          <w:sz w:val="28"/>
        </w:rPr>
      </w:pPr>
      <w:bookmarkStart w:id="0" w:name="_GoBack"/>
      <w:bookmarkEnd w:id="0"/>
    </w:p>
    <w:p w:rsidR="001803A1" w:rsidRPr="00FE4D55" w:rsidRDefault="001803A1" w:rsidP="001803A1">
      <w:pPr>
        <w:rPr>
          <w:rFonts w:ascii="Times New Roman" w:hAnsi="Times New Roman" w:cs="Times New Roman"/>
          <w:b/>
          <w:sz w:val="52"/>
          <w:szCs w:val="52"/>
          <w:lang w:eastAsia="pl-PL"/>
        </w:rPr>
      </w:pPr>
      <w:bookmarkStart w:id="1" w:name="_Toc404150096"/>
      <w:bookmarkStart w:id="2" w:name="_Toc416830698"/>
      <w:bookmarkStart w:id="3" w:name="_Toc236626155"/>
      <w:bookmarkStart w:id="4" w:name="_Toc274137170"/>
      <w:r w:rsidRPr="00FE4D55">
        <w:rPr>
          <w:rFonts w:ascii="Times New Roman" w:hAnsi="Times New Roman" w:cs="Times New Roman"/>
          <w:b/>
          <w:sz w:val="52"/>
          <w:szCs w:val="52"/>
          <w:lang w:eastAsia="pl-PL"/>
        </w:rPr>
        <w:t>D-01.01.01</w:t>
      </w:r>
      <w:r>
        <w:rPr>
          <w:rFonts w:ascii="Times New Roman" w:hAnsi="Times New Roman" w:cs="Times New Roman"/>
          <w:b/>
          <w:sz w:val="52"/>
          <w:szCs w:val="52"/>
          <w:lang w:eastAsia="pl-PL"/>
        </w:rPr>
        <w:t>A</w:t>
      </w:r>
    </w:p>
    <w:p w:rsidR="001803A1" w:rsidRPr="001803A1" w:rsidRDefault="001803A1" w:rsidP="001803A1">
      <w:pPr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1803A1">
        <w:rPr>
          <w:rFonts w:ascii="Times New Roman" w:hAnsi="Times New Roman" w:cs="Times New Roman"/>
          <w:b/>
          <w:sz w:val="36"/>
          <w:szCs w:val="36"/>
          <w:lang w:eastAsia="pl-PL"/>
        </w:rPr>
        <w:t>ODTWORZENIE TRASY I PUNKTÓW WYSOKOŚCIOWYCH</w:t>
      </w:r>
    </w:p>
    <w:p w:rsidR="006707A7" w:rsidRDefault="006707A7" w:rsidP="001803A1">
      <w:pPr>
        <w:pStyle w:val="Nagwek1"/>
        <w:rPr>
          <w:sz w:val="32"/>
          <w:szCs w:val="32"/>
        </w:rPr>
      </w:pPr>
    </w:p>
    <w:p w:rsidR="001803A1" w:rsidRPr="001803A1" w:rsidRDefault="001803A1" w:rsidP="001803A1">
      <w:pPr>
        <w:pStyle w:val="Nagwek1"/>
        <w:rPr>
          <w:sz w:val="32"/>
          <w:szCs w:val="32"/>
        </w:rPr>
      </w:pPr>
      <w:r w:rsidRPr="001803A1">
        <w:rPr>
          <w:sz w:val="32"/>
          <w:szCs w:val="32"/>
        </w:rPr>
        <w:t>1. WSTĘP</w:t>
      </w:r>
      <w:bookmarkEnd w:id="1"/>
      <w:bookmarkEnd w:id="2"/>
      <w:bookmarkEnd w:id="3"/>
      <w:bookmarkEnd w:id="4"/>
    </w:p>
    <w:p w:rsidR="001803A1" w:rsidRPr="006707A7" w:rsidRDefault="001803A1" w:rsidP="001803A1">
      <w:pPr>
        <w:pStyle w:val="Nagwek2"/>
        <w:rPr>
          <w:sz w:val="24"/>
          <w:szCs w:val="24"/>
        </w:rPr>
      </w:pPr>
      <w:bookmarkStart w:id="5" w:name="_Toc405615031"/>
      <w:bookmarkStart w:id="6" w:name="_Toc407161179"/>
      <w:r w:rsidRPr="006707A7">
        <w:rPr>
          <w:sz w:val="24"/>
          <w:szCs w:val="24"/>
        </w:rPr>
        <w:t>1.1. Przedmiot SST</w:t>
      </w:r>
      <w:bookmarkEnd w:id="5"/>
      <w:bookmarkEnd w:id="6"/>
    </w:p>
    <w:p w:rsidR="005F1D38" w:rsidRDefault="001803A1" w:rsidP="001803A1">
      <w:pPr>
        <w:pStyle w:val="Standardowytekst0"/>
        <w:rPr>
          <w:sz w:val="24"/>
          <w:szCs w:val="24"/>
        </w:rPr>
      </w:pPr>
      <w:r w:rsidRPr="006707A7">
        <w:rPr>
          <w:sz w:val="24"/>
          <w:szCs w:val="24"/>
        </w:rPr>
        <w:tab/>
        <w:t>Przedmiotem niniejszej specyfikacji technicznej są wymagania dotyczące wykonania</w:t>
      </w:r>
    </w:p>
    <w:p w:rsidR="001803A1" w:rsidRPr="006707A7" w:rsidRDefault="001803A1" w:rsidP="001803A1">
      <w:pPr>
        <w:pStyle w:val="Standardowytekst0"/>
        <w:rPr>
          <w:sz w:val="24"/>
          <w:szCs w:val="24"/>
        </w:rPr>
      </w:pPr>
      <w:r w:rsidRPr="006707A7">
        <w:rPr>
          <w:sz w:val="24"/>
          <w:szCs w:val="24"/>
        </w:rPr>
        <w:t>i odbioru robót związanych z odtworzeniem trasy drogowej i jej punktów wysokościowych oraz sporządzeniem inwentaryzacji powykonawczej wybudowanej drogi.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bookmarkStart w:id="7" w:name="_Toc405615033"/>
      <w:bookmarkStart w:id="8" w:name="_Toc407161181"/>
      <w:r w:rsidRPr="006707A7">
        <w:rPr>
          <w:sz w:val="24"/>
          <w:szCs w:val="24"/>
        </w:rPr>
        <w:t>1.2. Zakres robót objętych SST</w:t>
      </w:r>
      <w:bookmarkEnd w:id="7"/>
      <w:bookmarkEnd w:id="8"/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Ustalenia zawarte w niniejszej specyfikacji dotyczą zasad prowadzenia robót związanych z wszystkim czynnościami mającymi na celu odtworzenie w terenie przebiegu trasy drogowej oraz położenia obiektów inżynierskich, a także wykonania inwentaryzacji geodezyjnej i kartograficznej drogi po jej wybudowaniu.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 zakres robót wchodzą: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wyznaczenie sytuacyjne i wysokościowe punktów głównych osi trasy i punktów wysokościowych (reperów roboczych dowiązanych do reperów krajowych), z ich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zastabilizowaniem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>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6707A7">
        <w:rPr>
          <w:rFonts w:ascii="Times New Roman" w:hAnsi="Times New Roman" w:cs="Times New Roman"/>
          <w:sz w:val="24"/>
          <w:szCs w:val="24"/>
        </w:rPr>
        <w:t>zastabilizowanie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punktów w sposób trwały oraz odtwarzania uszkodzonych punktów,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wyznaczenie roboczego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pikietażu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trasy poza granicą robót,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przeniesienie punktów istniejącej osnowy geodezyjnej poza granicę robót ziemnych,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wyznaczenie przekrojów poprzecznych,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wyznaczenie zjazdów i uzgodnienie ich z właścicielami nieruchomości,</w:t>
      </w:r>
    </w:p>
    <w:p w:rsidR="001803A1" w:rsidRPr="006707A7" w:rsidRDefault="001803A1" w:rsidP="001803A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pomiar geodezyjny i dokumentacja kartograficzna do inwentaryzacji powykonawczej wybudowanej drogi.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bookmarkStart w:id="9" w:name="_Toc438609818"/>
      <w:bookmarkStart w:id="10" w:name="_Toc411231967"/>
      <w:bookmarkStart w:id="11" w:name="_Toc428880125"/>
      <w:bookmarkStart w:id="12" w:name="_Toc433636043"/>
      <w:bookmarkStart w:id="13" w:name="_Toc433675534"/>
      <w:bookmarkStart w:id="14" w:name="_Toc434887980"/>
      <w:r w:rsidRPr="006707A7">
        <w:rPr>
          <w:sz w:val="24"/>
          <w:szCs w:val="24"/>
        </w:rPr>
        <w:t>1.4. Określenia podstawowe</w:t>
      </w:r>
      <w:bookmarkEnd w:id="9"/>
      <w:bookmarkEnd w:id="10"/>
      <w:bookmarkEnd w:id="11"/>
      <w:bookmarkEnd w:id="12"/>
      <w:bookmarkEnd w:id="13"/>
      <w:bookmarkEnd w:id="14"/>
      <w:r w:rsidRPr="006707A7">
        <w:rPr>
          <w:sz w:val="24"/>
          <w:szCs w:val="24"/>
        </w:rPr>
        <w:t xml:space="preserve"> 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t xml:space="preserve">1.4.1. </w:t>
      </w:r>
      <w:r w:rsidRPr="006707A7">
        <w:rPr>
          <w:szCs w:val="24"/>
        </w:rPr>
        <w:t>Odtworzenie trasy i punktów wysokościowych – założenie poziomej i wysokościowej geodezyjnej osnowy realizacyjnej niezbędnej przy budowie drogi, uwzględniającej ustalenia dokumentacji projektowej.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t xml:space="preserve">1.4.2. </w:t>
      </w:r>
      <w:r w:rsidRPr="006707A7">
        <w:rPr>
          <w:szCs w:val="24"/>
        </w:rPr>
        <w:t>Punkty główne trasy – punkty załamania osi trasy, punkty kierunkowe oraz początkowy i końcowy punkt trasy.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t xml:space="preserve">1.4.3. </w:t>
      </w:r>
      <w:r w:rsidRPr="006707A7">
        <w:rPr>
          <w:szCs w:val="24"/>
        </w:rPr>
        <w:t>Reper –  zasadniczy element znaku wysokościowego lub samodzielny znak wysokościowy, którego wysokość jest wyznaczona.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lastRenderedPageBreak/>
        <w:t xml:space="preserve">1.4.4. </w:t>
      </w:r>
      <w:r w:rsidRPr="006707A7">
        <w:rPr>
          <w:szCs w:val="24"/>
        </w:rPr>
        <w:t>Znak geodezyjny –  znak z trwałego materiału umieszczony w punktach osnowy geodezyjnej.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t xml:space="preserve">1.4.5. </w:t>
      </w:r>
      <w:r w:rsidRPr="006707A7">
        <w:rPr>
          <w:szCs w:val="24"/>
        </w:rPr>
        <w:t>Osnowa realizacyjna - osnowa geodezyjna (pozioma i wysokościowa), przeznaczona do geodezyjnego wytyczenia elementów projektu w terenie oraz geodezyjnej obsługi budowy.</w:t>
      </w:r>
    </w:p>
    <w:p w:rsidR="001803A1" w:rsidRPr="006707A7" w:rsidRDefault="001803A1" w:rsidP="001803A1">
      <w:pPr>
        <w:pStyle w:val="Tekstpodstawowy"/>
        <w:spacing w:after="120" w:line="240" w:lineRule="auto"/>
        <w:jc w:val="both"/>
        <w:rPr>
          <w:szCs w:val="24"/>
        </w:rPr>
      </w:pPr>
      <w:r w:rsidRPr="006707A7">
        <w:rPr>
          <w:b/>
          <w:szCs w:val="24"/>
        </w:rPr>
        <w:t xml:space="preserve">1.4.6. </w:t>
      </w:r>
      <w:r w:rsidRPr="006707A7">
        <w:rPr>
          <w:szCs w:val="24"/>
        </w:rPr>
        <w:t>Inwentaryzacja powykonawcza – pomiar powykonawczy wybudowanej drogi i sporządzenie związanej z nim dokumentacji geodezyjnej i kartograficznej.</w:t>
      </w:r>
    </w:p>
    <w:p w:rsidR="001803A1" w:rsidRPr="006707A7" w:rsidRDefault="001803A1" w:rsidP="001803A1">
      <w:pPr>
        <w:pStyle w:val="Tekstpodstawowy"/>
        <w:spacing w:line="240" w:lineRule="auto"/>
        <w:jc w:val="both"/>
        <w:rPr>
          <w:color w:val="000000"/>
          <w:szCs w:val="24"/>
        </w:rPr>
      </w:pPr>
      <w:r w:rsidRPr="006707A7">
        <w:rPr>
          <w:b/>
          <w:szCs w:val="24"/>
        </w:rPr>
        <w:t xml:space="preserve">1.4.7. </w:t>
      </w:r>
      <w:r w:rsidRPr="006707A7">
        <w:rPr>
          <w:szCs w:val="24"/>
        </w:rPr>
        <w:t>Pozostałe określenia podstawowe są zgodne z obowiązującymi, odpowiednimi polskimi normami i z definicjami</w:t>
      </w:r>
      <w:r w:rsidRPr="006707A7">
        <w:rPr>
          <w:color w:val="000000"/>
          <w:szCs w:val="24"/>
        </w:rPr>
        <w:t xml:space="preserve"> podanymi w OST D-M-00.00.00 „Wymagania ogólne” [1] pkt 1.4.</w:t>
      </w:r>
    </w:p>
    <w:p w:rsidR="001803A1" w:rsidRPr="006707A7" w:rsidRDefault="001803A1" w:rsidP="001803A1">
      <w:pPr>
        <w:pStyle w:val="Nagwek1"/>
        <w:tabs>
          <w:tab w:val="left" w:pos="284"/>
          <w:tab w:val="left" w:pos="851"/>
        </w:tabs>
        <w:rPr>
          <w:sz w:val="24"/>
          <w:szCs w:val="24"/>
        </w:rPr>
      </w:pPr>
      <w:bookmarkStart w:id="15" w:name="_Toc438609822"/>
      <w:bookmarkStart w:id="16" w:name="_Toc166309962"/>
      <w:bookmarkStart w:id="17" w:name="_Toc274137171"/>
      <w:r w:rsidRPr="006707A7">
        <w:rPr>
          <w:sz w:val="24"/>
          <w:szCs w:val="24"/>
        </w:rPr>
        <w:t>2</w:t>
      </w:r>
      <w:bookmarkStart w:id="18" w:name="_Toc411231970"/>
      <w:bookmarkStart w:id="19" w:name="_Toc428880129"/>
      <w:bookmarkStart w:id="20" w:name="_Toc433636047"/>
      <w:bookmarkStart w:id="21" w:name="_Toc433675538"/>
      <w:bookmarkStart w:id="22" w:name="_Toc434887984"/>
      <w:r w:rsidRPr="006707A7">
        <w:rPr>
          <w:sz w:val="24"/>
          <w:szCs w:val="24"/>
        </w:rPr>
        <w:t>. MATERIAŁY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2.1. Ogólne wymagania dotyczące materiałów</w:t>
      </w:r>
    </w:p>
    <w:p w:rsidR="001803A1" w:rsidRPr="006707A7" w:rsidRDefault="001803A1" w:rsidP="001803A1">
      <w:pPr>
        <w:pStyle w:val="Tekstpodstawowy"/>
        <w:spacing w:line="240" w:lineRule="auto"/>
        <w:ind w:firstLine="709"/>
        <w:jc w:val="both"/>
        <w:rPr>
          <w:color w:val="000000"/>
          <w:szCs w:val="24"/>
        </w:rPr>
      </w:pPr>
      <w:r w:rsidRPr="006707A7">
        <w:rPr>
          <w:color w:val="000000"/>
          <w:szCs w:val="24"/>
        </w:rPr>
        <w:t>Ogólne wymagania dotyczące materiałów podano w OST D-M-00.00.00 „Wymagania ogólne" [1] pkt 2.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2.2. Materiały do wykonania robót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Do utrwalenia punktów głównych trasy należy stosować pale drewniane z gwoździem lub prętem stalowym, słupki betonowe albo rury metalowe długości około         </w:t>
      </w:r>
      <w:smartTag w:uri="urn:schemas-microsoft-com:office:smarttags" w:element="metricconverter">
        <w:smartTagPr>
          <w:attr w:name="ProductID" w:val="0,5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0,5 m</w:t>
        </w:r>
      </w:smartTag>
      <w:r w:rsidRPr="006707A7">
        <w:rPr>
          <w:rFonts w:ascii="Times New Roman" w:hAnsi="Times New Roman" w:cs="Times New Roman"/>
          <w:sz w:val="24"/>
          <w:szCs w:val="24"/>
        </w:rPr>
        <w:t>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Pale drewniane umieszczone poza granicą robót ziemnych, w sąsiedztwie punktów załamania trasy powinny mieć średnicę 0,15 ÷ </w:t>
      </w:r>
      <w:smartTag w:uri="urn:schemas-microsoft-com:office:smarttags" w:element="metricconverter">
        <w:smartTagPr>
          <w:attr w:name="ProductID" w:val="0,20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0,20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i długość 1,5 ÷ </w:t>
      </w:r>
      <w:smartTag w:uri="urn:schemas-microsoft-com:office:smarttags" w:element="metricconverter">
        <w:smartTagPr>
          <w:attr w:name="ProductID" w:val="1,7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1,7 m</w:t>
        </w:r>
      </w:smartTag>
      <w:r w:rsidRPr="006707A7">
        <w:rPr>
          <w:rFonts w:ascii="Times New Roman" w:hAnsi="Times New Roman" w:cs="Times New Roman"/>
          <w:sz w:val="24"/>
          <w:szCs w:val="24"/>
        </w:rPr>
        <w:t>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Do stabilizacji pozostałych punktów należy stosować paliki drewniane średnicy 0,05 ÷ </w:t>
      </w:r>
      <w:smartTag w:uri="urn:schemas-microsoft-com:office:smarttags" w:element="metricconverter">
        <w:smartTagPr>
          <w:attr w:name="ProductID" w:val="0,08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0,08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i długości około </w:t>
      </w:r>
      <w:smartTag w:uri="urn:schemas-microsoft-com:office:smarttags" w:element="metricconverter">
        <w:smartTagPr>
          <w:attr w:name="ProductID" w:val="0,30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0,30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, a dla punktów utrwalonych w istniejącej nawierzchni bolce stalowe średnicy </w:t>
      </w:r>
      <w:smartTag w:uri="urn:schemas-microsoft-com:office:smarttags" w:element="metricconverter">
        <w:smartTagPr>
          <w:attr w:name="ProductID" w:val="5 mm"/>
        </w:smartTagPr>
        <w:r w:rsidRPr="006707A7">
          <w:rPr>
            <w:rFonts w:ascii="Times New Roman" w:hAnsi="Times New Roman" w:cs="Times New Roman"/>
            <w:sz w:val="24"/>
            <w:szCs w:val="24"/>
          </w:rPr>
          <w:t>5 mm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i długości 0,04 ÷ </w:t>
      </w:r>
      <w:smartTag w:uri="urn:schemas-microsoft-com:office:smarttags" w:element="metricconverter">
        <w:smartTagPr>
          <w:attr w:name="ProductID" w:val="0,05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0,05 m</w:t>
        </w:r>
      </w:smartTag>
      <w:r w:rsidRPr="006707A7">
        <w:rPr>
          <w:rFonts w:ascii="Times New Roman" w:hAnsi="Times New Roman" w:cs="Times New Roman"/>
          <w:sz w:val="24"/>
          <w:szCs w:val="24"/>
        </w:rPr>
        <w:t>.</w:t>
      </w:r>
    </w:p>
    <w:p w:rsidR="001803A1" w:rsidRPr="006707A7" w:rsidRDefault="001803A1" w:rsidP="001803A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„Świadki” powinny mieć długość około </w:t>
      </w:r>
      <w:smartTag w:uri="urn:schemas-microsoft-com:office:smarttags" w:element="metricconverter">
        <w:smartTagPr>
          <w:attr w:name="ProductID" w:val="0,50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0,50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i przekrój prostokątny.</w:t>
      </w:r>
    </w:p>
    <w:p w:rsidR="001803A1" w:rsidRPr="006707A7" w:rsidRDefault="001803A1" w:rsidP="001803A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Do stabilizowania roboczego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pikietażu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trasy, poza granicą pasa robót, należy stosować pale drewniane średnicy 0,15 ÷ </w:t>
      </w:r>
      <w:smartTag w:uri="urn:schemas-microsoft-com:office:smarttags" w:element="metricconverter">
        <w:smartTagPr>
          <w:attr w:name="ProductID" w:val="0,20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0,20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i długości 1,5 ÷ </w:t>
      </w:r>
      <w:smartTag w:uri="urn:schemas-microsoft-com:office:smarttags" w:element="metricconverter">
        <w:smartTagPr>
          <w:attr w:name="ProductID" w:val="1,7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1,7 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z tabliczkami o wymiarach uzgodnionych z Inżynierem.</w:t>
      </w:r>
    </w:p>
    <w:p w:rsidR="001803A1" w:rsidRPr="006707A7" w:rsidRDefault="001803A1" w:rsidP="001803A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Do utrwalenia punktów osnowy geodezyjnej należy stosować materiały zgodne z instrukcjami technicznymi G-1 [5] i G-2 [6].</w:t>
      </w:r>
    </w:p>
    <w:p w:rsidR="001803A1" w:rsidRPr="006707A7" w:rsidRDefault="001803A1" w:rsidP="001803A1">
      <w:pPr>
        <w:pStyle w:val="Nagwek1"/>
        <w:numPr>
          <w:ilvl w:val="12"/>
          <w:numId w:val="0"/>
        </w:numPr>
        <w:rPr>
          <w:sz w:val="24"/>
          <w:szCs w:val="24"/>
        </w:rPr>
      </w:pPr>
      <w:bookmarkStart w:id="23" w:name="_Toc25373382"/>
      <w:bookmarkStart w:id="24" w:name="_Toc25379398"/>
      <w:bookmarkStart w:id="25" w:name="_Toc38338022"/>
      <w:bookmarkStart w:id="26" w:name="_Toc68660263"/>
      <w:bookmarkStart w:id="27" w:name="_Toc68921158"/>
      <w:bookmarkStart w:id="28" w:name="_Toc68929545"/>
      <w:bookmarkStart w:id="29" w:name="_Toc70745913"/>
      <w:bookmarkStart w:id="30" w:name="_Toc113338099"/>
      <w:bookmarkStart w:id="31" w:name="_Toc124213275"/>
      <w:bookmarkStart w:id="32" w:name="_Toc144694237"/>
      <w:bookmarkStart w:id="33" w:name="_Toc199904821"/>
      <w:bookmarkStart w:id="34" w:name="_Toc204566518"/>
      <w:bookmarkStart w:id="35" w:name="_Toc274137172"/>
      <w:r w:rsidRPr="006707A7">
        <w:rPr>
          <w:sz w:val="24"/>
          <w:szCs w:val="24"/>
        </w:rPr>
        <w:t xml:space="preserve">3. 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6707A7">
        <w:rPr>
          <w:sz w:val="24"/>
          <w:szCs w:val="24"/>
        </w:rPr>
        <w:t>SPRZĘT</w:t>
      </w:r>
    </w:p>
    <w:p w:rsidR="001803A1" w:rsidRPr="006707A7" w:rsidRDefault="001803A1" w:rsidP="001803A1">
      <w:pPr>
        <w:pStyle w:val="Nagwek2"/>
        <w:numPr>
          <w:ilvl w:val="12"/>
          <w:numId w:val="0"/>
        </w:numPr>
        <w:rPr>
          <w:sz w:val="24"/>
          <w:szCs w:val="24"/>
        </w:rPr>
      </w:pPr>
      <w:r w:rsidRPr="006707A7">
        <w:rPr>
          <w:sz w:val="24"/>
          <w:szCs w:val="24"/>
        </w:rPr>
        <w:t>3.1. Ogólne wymagania dotyczące sprzętu</w:t>
      </w:r>
    </w:p>
    <w:p w:rsidR="001803A1" w:rsidRPr="006707A7" w:rsidRDefault="001803A1" w:rsidP="001803A1">
      <w:pPr>
        <w:numPr>
          <w:ilvl w:val="12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wymagania dotyczące sprzętu podano w OST  D-M-00.00.00 „Wymagania ogólne” [1] pkt 3.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3.2. Sprzęt stosowany do wykonania robót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Przy wykonywaniu robót Wykonawca w zależności od potrzeb, powinien wykazać się możliwością korzystania ze sprzętu dostosowanego do przyjętej metody robót, jak:</w:t>
      </w:r>
    </w:p>
    <w:p w:rsidR="001803A1" w:rsidRPr="006707A7" w:rsidRDefault="001803A1" w:rsidP="001803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lastRenderedPageBreak/>
        <w:t>teodolity lub tachimetry,</w:t>
      </w:r>
    </w:p>
    <w:p w:rsidR="001803A1" w:rsidRPr="006707A7" w:rsidRDefault="001803A1" w:rsidP="001803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niwelatory,</w:t>
      </w:r>
    </w:p>
    <w:p w:rsidR="001803A1" w:rsidRPr="006707A7" w:rsidRDefault="001803A1" w:rsidP="001803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dalmierze,</w:t>
      </w:r>
    </w:p>
    <w:p w:rsidR="001803A1" w:rsidRPr="006707A7" w:rsidRDefault="001803A1" w:rsidP="001803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tyczki, łaty, taśmy stalowe, szpilki,</w:t>
      </w:r>
    </w:p>
    <w:p w:rsidR="001803A1" w:rsidRPr="006707A7" w:rsidRDefault="001803A1" w:rsidP="001803A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ew. odbiorniki GPS, zapewniające uzyskanie wymaganych dokładności pomiarów.</w:t>
      </w:r>
    </w:p>
    <w:p w:rsidR="001803A1" w:rsidRPr="006707A7" w:rsidRDefault="001803A1" w:rsidP="001803A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Sprzęt stosowany do odtworzenia trasy drogowej i jej punktów wysokościowych powinien gwarantować uzyskanie wymaganej dokładności pomiaru.</w:t>
      </w:r>
    </w:p>
    <w:p w:rsidR="001803A1" w:rsidRPr="006707A7" w:rsidRDefault="001803A1" w:rsidP="001803A1">
      <w:pPr>
        <w:pStyle w:val="Nagwek1"/>
        <w:rPr>
          <w:sz w:val="24"/>
          <w:szCs w:val="24"/>
        </w:rPr>
      </w:pPr>
      <w:bookmarkStart w:id="36" w:name="_Toc33319442"/>
      <w:bookmarkStart w:id="37" w:name="_Toc33320734"/>
      <w:bookmarkStart w:id="38" w:name="_Toc38338023"/>
      <w:bookmarkStart w:id="39" w:name="_Toc68660264"/>
      <w:bookmarkStart w:id="40" w:name="_Toc68921159"/>
      <w:bookmarkStart w:id="41" w:name="_Toc68929546"/>
      <w:bookmarkStart w:id="42" w:name="_Toc70745914"/>
      <w:bookmarkStart w:id="43" w:name="_Toc113338100"/>
      <w:bookmarkStart w:id="44" w:name="_Toc124213276"/>
      <w:bookmarkStart w:id="45" w:name="_Toc144694238"/>
      <w:bookmarkStart w:id="46" w:name="_Toc199904822"/>
      <w:bookmarkStart w:id="47" w:name="_Toc204566519"/>
      <w:bookmarkStart w:id="48" w:name="_Toc274137173"/>
      <w:r w:rsidRPr="006707A7">
        <w:rPr>
          <w:sz w:val="24"/>
          <w:szCs w:val="24"/>
        </w:rPr>
        <w:t>4. TRANSPORT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:rsidR="001803A1" w:rsidRPr="006707A7" w:rsidRDefault="001803A1" w:rsidP="001803A1">
      <w:pPr>
        <w:pStyle w:val="Nagwek2"/>
        <w:numPr>
          <w:ilvl w:val="12"/>
          <w:numId w:val="0"/>
        </w:numPr>
        <w:rPr>
          <w:sz w:val="24"/>
          <w:szCs w:val="24"/>
        </w:rPr>
      </w:pPr>
      <w:r w:rsidRPr="006707A7">
        <w:rPr>
          <w:sz w:val="24"/>
          <w:szCs w:val="24"/>
        </w:rPr>
        <w:t>4.1. Ogólne wymagania dotyczące transportu</w:t>
      </w:r>
    </w:p>
    <w:p w:rsidR="001803A1" w:rsidRPr="006707A7" w:rsidRDefault="001803A1" w:rsidP="001803A1">
      <w:pPr>
        <w:numPr>
          <w:ilvl w:val="12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wymagania dotyczące transportu podano w OST D-M-00.00.00 „Wymagania ogólne” [1] pkt 4.</w:t>
      </w:r>
      <w:r w:rsidRPr="006707A7">
        <w:rPr>
          <w:rFonts w:ascii="Times New Roman" w:hAnsi="Times New Roman" w:cs="Times New Roman"/>
          <w:sz w:val="24"/>
          <w:szCs w:val="24"/>
        </w:rPr>
        <w:tab/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4.2. Transport materiałów i sprzętu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Sprzęt i materiały do prac geodezyjnych można przewozić dowolnym środkiem transportu.</w:t>
      </w:r>
    </w:p>
    <w:p w:rsidR="001803A1" w:rsidRPr="006707A7" w:rsidRDefault="001803A1" w:rsidP="001803A1">
      <w:pPr>
        <w:pStyle w:val="Nagwek1"/>
        <w:numPr>
          <w:ilvl w:val="12"/>
          <w:numId w:val="0"/>
        </w:numPr>
        <w:rPr>
          <w:sz w:val="24"/>
          <w:szCs w:val="24"/>
        </w:rPr>
      </w:pPr>
      <w:bookmarkStart w:id="49" w:name="_Toc421940500"/>
      <w:bookmarkStart w:id="50" w:name="_Toc18217006"/>
      <w:bookmarkStart w:id="51" w:name="_Toc30219220"/>
      <w:bookmarkStart w:id="52" w:name="_Toc33319443"/>
      <w:bookmarkStart w:id="53" w:name="_Toc33320735"/>
      <w:bookmarkStart w:id="54" w:name="_Toc38338024"/>
      <w:bookmarkStart w:id="55" w:name="_Toc68660265"/>
      <w:bookmarkStart w:id="56" w:name="_Toc68921160"/>
      <w:bookmarkStart w:id="57" w:name="_Toc68929547"/>
      <w:bookmarkStart w:id="58" w:name="_Toc70745915"/>
      <w:bookmarkStart w:id="59" w:name="_Toc113338101"/>
      <w:bookmarkStart w:id="60" w:name="_Toc124213277"/>
      <w:bookmarkStart w:id="61" w:name="_Toc144694239"/>
      <w:bookmarkStart w:id="62" w:name="_Toc199904823"/>
      <w:bookmarkStart w:id="63" w:name="_Toc204566520"/>
      <w:bookmarkStart w:id="64" w:name="_Toc274137174"/>
      <w:r w:rsidRPr="006707A7">
        <w:rPr>
          <w:sz w:val="24"/>
          <w:szCs w:val="24"/>
        </w:rPr>
        <w:t xml:space="preserve">5. 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r w:rsidRPr="006707A7">
        <w:rPr>
          <w:sz w:val="24"/>
          <w:szCs w:val="24"/>
        </w:rPr>
        <w:t>WYKONANIE ROBÓT</w:t>
      </w:r>
    </w:p>
    <w:p w:rsidR="001803A1" w:rsidRPr="006707A7" w:rsidRDefault="001803A1" w:rsidP="001803A1">
      <w:pPr>
        <w:pStyle w:val="Nagwek2"/>
        <w:numPr>
          <w:ilvl w:val="12"/>
          <w:numId w:val="0"/>
        </w:numPr>
        <w:rPr>
          <w:sz w:val="24"/>
          <w:szCs w:val="24"/>
        </w:rPr>
      </w:pPr>
      <w:r w:rsidRPr="006707A7">
        <w:rPr>
          <w:sz w:val="24"/>
          <w:szCs w:val="24"/>
        </w:rPr>
        <w:t>5.1. Ogólne zasady wykonania robót</w:t>
      </w:r>
    </w:p>
    <w:p w:rsidR="001803A1" w:rsidRPr="006707A7" w:rsidRDefault="001803A1" w:rsidP="001803A1">
      <w:pPr>
        <w:numPr>
          <w:ilvl w:val="12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zasady wykonania robót podano w OST D-M-00.00.00 „Wymagania ogólne” [1] pkt 5.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5.2. Zasady wykonywania robót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Podstawowe czynności przy wykonywaniu robót obejmują:</w:t>
      </w:r>
    </w:p>
    <w:p w:rsidR="001803A1" w:rsidRPr="006707A7" w:rsidRDefault="001803A1" w:rsidP="001803A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roboty przygotowawcze, </w:t>
      </w:r>
    </w:p>
    <w:p w:rsidR="001803A1" w:rsidRPr="006707A7" w:rsidRDefault="001803A1" w:rsidP="001803A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odtworzenie trasy i punktów wysokościowych,</w:t>
      </w:r>
    </w:p>
    <w:p w:rsidR="001803A1" w:rsidRPr="006707A7" w:rsidRDefault="001803A1" w:rsidP="001803A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geodezyjna inwentaryzacja powykonawcza.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5.3. Prace przygotowawcze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Przed przystąpieniem do robót Wykonawca robót geodezyjnych powinien: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zapoznać się z zakresem opracowania,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przeprowadzić z Zamawiającym (Inżynierem) uzgodnienia dotyczące sposobu wykonania prac,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zapoznać się z dokumentacją projektową,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zebrać informacje o rodzaju i stanie osnów geodezyjnych na obszarze objętym budową drogi,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zapoznać się z przewidywanym sposobem realizacji budowy, </w:t>
      </w:r>
    </w:p>
    <w:p w:rsidR="001803A1" w:rsidRPr="006707A7" w:rsidRDefault="001803A1" w:rsidP="001803A1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przeprowadzić wywiad szczegółowy w terenie.</w:t>
      </w:r>
    </w:p>
    <w:p w:rsidR="006707A7" w:rsidRDefault="006707A7" w:rsidP="001803A1">
      <w:pPr>
        <w:pStyle w:val="Nagwek2"/>
        <w:rPr>
          <w:sz w:val="24"/>
          <w:szCs w:val="24"/>
        </w:rPr>
      </w:pP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lastRenderedPageBreak/>
        <w:t>5.4. Odtworzenie trasy drogi i punktów wysokościowych</w:t>
      </w:r>
    </w:p>
    <w:p w:rsidR="001803A1" w:rsidRPr="006707A7" w:rsidRDefault="001803A1" w:rsidP="001803A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 xml:space="preserve">5.4.1. </w:t>
      </w:r>
      <w:r w:rsidRPr="006707A7">
        <w:rPr>
          <w:rFonts w:ascii="Times New Roman" w:hAnsi="Times New Roman" w:cs="Times New Roman"/>
          <w:sz w:val="24"/>
          <w:szCs w:val="24"/>
        </w:rPr>
        <w:t>Zasady wykonywania prac pomiarowych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Prace pomiarowe powinny być wykonane zgodnie z obowiązującymi Instrukcjami i wytycznymi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GUGiK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[3÷10].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Przed przystąpieniem do robót Wykonawca powinien przejąć od Zamawiającego dane zawierające lokalizację i współrzędne punktów głównych trasy oraz reperów.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 oparciu o materiały dostarczone przez Zamawiającego, Wykonawca powinien przeprowadzić obliczenia i pomiary geodezyjne niezbędne do szczegółowego wytyczenia robót.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Prace pomiarowe powinny być wykonane przez osoby posiadające odpowiednie kwalifikacje i uprawnienia.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Wykonawca powinien natychmiast poinformować Inżyniera o wszelkich błędach wykrytych w wytyczeniu punktów głównych trasy i (lub) reperów roboczych. Błędy te powinny być usunięte na koszt Zamawiającego.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Wykonawca powinien sprawdzić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Inżyniera. Ukształtowanie terenu w takim rejonie nie powinno być zmieniane przed podjęciem odpowiedniej decyzji przez Inżyniera. Wszystkie roboty dodatkowe, wynikające z różnic rzędnych terenu podanych w dokumentacji projektowej i rzędnych rzeczywistych, akceptowane przez Inżyniera, zostaną wykonane na koszt Zamawiającego. Zaniechanie powiadomienia Inżyniera oznacza, że roboty dodatkowe w takim przypadku obciążą Wykonawcę.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Wszystkie roboty, które bazują na pomiarach Wykonawcy, nie mogą być rozpoczęte przed zaakceptowaniem wyników pomiarów przez Inżyniera.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Wykonawca jest odpowiedzialny za zabezpieczanie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Wszystkie pozostałe prace pomiarowe konieczne dla prawidłowej realizacji robót należą do obowiązków Wykonawcy.</w:t>
      </w:r>
    </w:p>
    <w:p w:rsidR="001803A1" w:rsidRPr="006707A7" w:rsidRDefault="001803A1" w:rsidP="001803A1">
      <w:pPr>
        <w:pStyle w:val="Nagwek2"/>
        <w:ind w:left="709" w:hanging="709"/>
        <w:rPr>
          <w:b w:val="0"/>
          <w:sz w:val="24"/>
          <w:szCs w:val="24"/>
        </w:rPr>
      </w:pPr>
      <w:r w:rsidRPr="006707A7">
        <w:rPr>
          <w:sz w:val="24"/>
          <w:szCs w:val="24"/>
        </w:rPr>
        <w:lastRenderedPageBreak/>
        <w:t xml:space="preserve">5.4.2. </w:t>
      </w:r>
      <w:r w:rsidRPr="006707A7">
        <w:rPr>
          <w:b w:val="0"/>
          <w:sz w:val="24"/>
          <w:szCs w:val="24"/>
        </w:rPr>
        <w:t>Sprawdzenie wyznaczenia punktów głównych osi trasy i punktów        wysokościowych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ab/>
      </w:r>
      <w:r w:rsidRPr="006707A7">
        <w:rPr>
          <w:rFonts w:ascii="Times New Roman" w:hAnsi="Times New Roman" w:cs="Times New Roman"/>
          <w:sz w:val="24"/>
          <w:szCs w:val="24"/>
        </w:rPr>
        <w:t xml:space="preserve">Punkty wierzchołkowe trasy i inne punkty główne powinny być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zastabilizowane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w sposób trwały, przy użyciu pali drewnianych lub słupków betonowych, a także dowiązane do punktów pomocniczych, położonych poza granicą robót ziemnych. Maksymalna odległość pomiędzy punktami głównymi na odcinkach prostych nie może przekraczać          </w:t>
      </w:r>
      <w:smartTag w:uri="urn:schemas-microsoft-com:office:smarttags" w:element="metricconverter">
        <w:smartTagPr>
          <w:attr w:name="ProductID" w:val="500 m"/>
        </w:smartTagPr>
        <w:r w:rsidRPr="006707A7">
          <w:rPr>
            <w:rFonts w:ascii="Times New Roman" w:hAnsi="Times New Roman" w:cs="Times New Roman"/>
            <w:sz w:val="24"/>
            <w:szCs w:val="24"/>
          </w:rPr>
          <w:t>500 m</w:t>
        </w:r>
      </w:smartTag>
      <w:r w:rsidRPr="006707A7">
        <w:rPr>
          <w:rFonts w:ascii="Times New Roman" w:hAnsi="Times New Roman" w:cs="Times New Roman"/>
          <w:sz w:val="24"/>
          <w:szCs w:val="24"/>
        </w:rPr>
        <w:t>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Wykonawca powinien założyć robocze punkty wysokościowe (repery robocze) wzdłuż osi trasy drogowej, a także przy każdym obiekcie inżynierskim. Maksymalna odległość między reperami roboczymi wzdłuż trasy drogowej w terenie płaskim powinna wynosić </w:t>
      </w:r>
      <w:smartTag w:uri="urn:schemas-microsoft-com:office:smarttags" w:element="metricconverter">
        <w:smartTagPr>
          <w:attr w:name="ProductID" w:val="500 metr￳w"/>
        </w:smartTagPr>
        <w:r w:rsidRPr="006707A7">
          <w:rPr>
            <w:rFonts w:ascii="Times New Roman" w:hAnsi="Times New Roman" w:cs="Times New Roman"/>
            <w:sz w:val="24"/>
            <w:szCs w:val="24"/>
          </w:rPr>
          <w:t>500 metrów</w:t>
        </w:r>
      </w:smartTag>
      <w:r w:rsidRPr="006707A7">
        <w:rPr>
          <w:rFonts w:ascii="Times New Roman" w:hAnsi="Times New Roman" w:cs="Times New Roman"/>
          <w:sz w:val="24"/>
          <w:szCs w:val="24"/>
        </w:rPr>
        <w:t>, natomiast w terenie falistym i górskim powinna być odpowiednio zmniejszona, zależnie od jego konfiguracji.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Repery robocze należy założyć poza granicami robót związanych z wykonaniem trasy drogowej i obiektów towarzyszących. Jako repery robocze można wykorzystać punkty stałe na stabilnych, istniejących budowlach wzdłuż trasy drogowej. O ile brak jest  takich punktów, repery robocze należy założyć w postaci słupków betonowych lub grubych kształtowników stalowych, osadzonych w gruncie w sposób wykluczający osiadanie, w sposób zaakceptowany przez Inżyniera.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Rzędne reperów roboczych należy określać z taką dokładnością, aby średni błąd niwelacji po wyrównaniu był mniejszy od 4 mm/km, stosując niwelację podwójną w nawiązaniu do reperów państwowych.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Repery robocze powinny być wyposażone w dodatkowe oznaczenia, zawierające wyraźne i jednoznaczne określenie nazwy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reperu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i jego rzędnej.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 xml:space="preserve">5.4.3.  </w:t>
      </w:r>
      <w:r w:rsidRPr="006707A7">
        <w:rPr>
          <w:b w:val="0"/>
          <w:sz w:val="24"/>
          <w:szCs w:val="24"/>
        </w:rPr>
        <w:t>Odtworzenie osi trasy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Tyczenie osi trasy należy wykonać w oparciu o dokumentację projektową oraz inne dane geodezyjne przekazane przez Zamawiającego, przy wykorzystaniu sieci poligonizacji państwowej albo innej osnowy geodezyjnej, określonej w dokumentacji projektowej.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Oś trasy powinna być wyznaczona w punktach głównych i w punktach pośrednich w odległości zależnej od charakterystyki terenu i ukształtowania trasy, lecz nie rzadziej niż co </w:t>
      </w:r>
      <w:smartTag w:uri="urn:schemas-microsoft-com:office:smarttags" w:element="metricconverter">
        <w:smartTagPr>
          <w:attr w:name="ProductID" w:val="50 metr￳w"/>
        </w:smartTagPr>
        <w:r w:rsidRPr="006707A7">
          <w:rPr>
            <w:rFonts w:ascii="Times New Roman" w:hAnsi="Times New Roman" w:cs="Times New Roman"/>
            <w:sz w:val="24"/>
            <w:szCs w:val="24"/>
          </w:rPr>
          <w:t>50 metrów</w:t>
        </w:r>
      </w:smartTag>
      <w:r w:rsidRPr="006707A7">
        <w:rPr>
          <w:rFonts w:ascii="Times New Roman" w:hAnsi="Times New Roman" w:cs="Times New Roman"/>
          <w:sz w:val="24"/>
          <w:szCs w:val="24"/>
        </w:rPr>
        <w:t>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Dopuszczalne odchylenie sytuacyjne wytyczonej osi trasy w stosunku do dokumentacji projektowej nie może być większe niż </w:t>
      </w:r>
      <w:smartTag w:uri="urn:schemas-microsoft-com:office:smarttags" w:element="metricconverter">
        <w:smartTagPr>
          <w:attr w:name="ProductID" w:val="3 cm"/>
        </w:smartTagPr>
        <w:r w:rsidRPr="006707A7">
          <w:rPr>
            <w:rFonts w:ascii="Times New Roman" w:hAnsi="Times New Roman" w:cs="Times New Roman"/>
            <w:sz w:val="24"/>
            <w:szCs w:val="24"/>
          </w:rPr>
          <w:t>3 cm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dla autostrad i dróg ekspresowych lub </w:t>
      </w:r>
      <w:smartTag w:uri="urn:schemas-microsoft-com:office:smarttags" w:element="metricconverter">
        <w:smartTagPr>
          <w:attr w:name="ProductID" w:val="5 cm"/>
        </w:smartTagPr>
        <w:r w:rsidRPr="006707A7">
          <w:rPr>
            <w:rFonts w:ascii="Times New Roman" w:hAnsi="Times New Roman" w:cs="Times New Roman"/>
            <w:sz w:val="24"/>
            <w:szCs w:val="24"/>
          </w:rPr>
          <w:t>5 cm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dla pozostałych dróg. Rzędne niwelety punktów osi trasy należy wyznaczyć z dokładnością do </w:t>
      </w:r>
      <w:smartTag w:uri="urn:schemas-microsoft-com:office:smarttags" w:element="metricconverter">
        <w:smartTagPr>
          <w:attr w:name="ProductID" w:val="1 cm"/>
        </w:smartTagPr>
        <w:r w:rsidRPr="006707A7">
          <w:rPr>
            <w:rFonts w:ascii="Times New Roman" w:hAnsi="Times New Roman" w:cs="Times New Roman"/>
            <w:sz w:val="24"/>
            <w:szCs w:val="24"/>
          </w:rPr>
          <w:t>1 cm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w stosunku do rzędnych niwelety określonych w dokumentacji projektowej.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Do utrwalenia osi trasy w terenie należy użyć materiałów wymienionych w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pkcie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> 2.2.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Usunięcie pali z osi trasy jest dopuszczalne tylko wówczas, gdy Wykonawca robót zastąpi je odpowiednimi palami po obu stronach osi, umieszczonych poza granicą robót.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lastRenderedPageBreak/>
        <w:t xml:space="preserve">5.4.4. </w:t>
      </w:r>
      <w:r w:rsidRPr="006707A7">
        <w:rPr>
          <w:b w:val="0"/>
          <w:sz w:val="24"/>
          <w:szCs w:val="24"/>
        </w:rPr>
        <w:t>Wyznaczenie przekrojów poprzecznych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ab/>
      </w:r>
      <w:r w:rsidRPr="006707A7">
        <w:rPr>
          <w:rFonts w:ascii="Times New Roman" w:hAnsi="Times New Roman" w:cs="Times New Roman"/>
          <w:sz w:val="24"/>
          <w:szCs w:val="24"/>
        </w:rPr>
        <w:t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Do wyznaczania krawędzi nasypów i wykopów należy stosować dobrze widoczne paliki lub wiechy. Wiechy należy stosować w przypadku nasypów o wysokości przekraczającej </w:t>
      </w:r>
      <w:smartTag w:uri="urn:schemas-microsoft-com:office:smarttags" w:element="metricconverter">
        <w:smartTagPr>
          <w:attr w:name="ProductID" w:val="1 metr"/>
        </w:smartTagPr>
        <w:r w:rsidRPr="006707A7">
          <w:rPr>
            <w:rFonts w:ascii="Times New Roman" w:hAnsi="Times New Roman" w:cs="Times New Roman"/>
            <w:sz w:val="24"/>
            <w:szCs w:val="24"/>
          </w:rPr>
          <w:t>1 metr</w:t>
        </w:r>
      </w:smartTag>
      <w:r w:rsidRPr="006707A7">
        <w:rPr>
          <w:rFonts w:ascii="Times New Roman" w:hAnsi="Times New Roman" w:cs="Times New Roman"/>
          <w:sz w:val="24"/>
          <w:szCs w:val="24"/>
        </w:rPr>
        <w:t xml:space="preserve"> oraz wykopów głębszych niż </w:t>
      </w:r>
      <w:smartTag w:uri="urn:schemas-microsoft-com:office:smarttags" w:element="metricconverter">
        <w:smartTagPr>
          <w:attr w:name="ProductID" w:val="1 metr"/>
        </w:smartTagPr>
        <w:r w:rsidRPr="006707A7">
          <w:rPr>
            <w:rFonts w:ascii="Times New Roman" w:hAnsi="Times New Roman" w:cs="Times New Roman"/>
            <w:sz w:val="24"/>
            <w:szCs w:val="24"/>
          </w:rPr>
          <w:t>1 metr</w:t>
        </w:r>
      </w:smartTag>
      <w:r w:rsidRPr="006707A7">
        <w:rPr>
          <w:rFonts w:ascii="Times New Roman" w:hAnsi="Times New Roman" w:cs="Times New Roman"/>
          <w:sz w:val="24"/>
          <w:szCs w:val="24"/>
        </w:rPr>
        <w:t>. Odległość między palikami lub wiechami należy dostosować do ukształtowania terenu oraz geometrii trasy drogowej. Odległość ta co najmniej powinna odpowiadać odstępowi kolejnych przekrojów poprzecznych.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Profilowanie przekrojów poprzecznych musi umożliwiać wykonanie nasypów i wykopów o kształcie zgodnym z dokumentacją projektową.</w:t>
      </w:r>
    </w:p>
    <w:p w:rsidR="001803A1" w:rsidRPr="006707A7" w:rsidRDefault="006707A7" w:rsidP="001803A1">
      <w:pPr>
        <w:tabs>
          <w:tab w:val="left" w:pos="0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5.4.5</w:t>
      </w:r>
      <w:r w:rsidR="001803A1" w:rsidRPr="006707A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803A1" w:rsidRPr="006707A7">
        <w:rPr>
          <w:rFonts w:ascii="Times New Roman" w:hAnsi="Times New Roman" w:cs="Times New Roman"/>
          <w:sz w:val="24"/>
          <w:szCs w:val="24"/>
        </w:rPr>
        <w:t>Skompletowanie dokumentacji geodezyjnej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Dokumentację geodezyjną należy skompletować zgodnie z przepisami instrukcji 0-3 [4] z podziałem na:</w:t>
      </w:r>
    </w:p>
    <w:p w:rsidR="001803A1" w:rsidRPr="006707A7" w:rsidRDefault="001803A1" w:rsidP="001803A1">
      <w:pPr>
        <w:pStyle w:val="Tekstpodstawowy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  <w:rPr>
          <w:szCs w:val="24"/>
        </w:rPr>
      </w:pPr>
      <w:r w:rsidRPr="006707A7">
        <w:rPr>
          <w:szCs w:val="24"/>
        </w:rPr>
        <w:t>akta postępowania przeznaczone dla Wykonawcy,</w:t>
      </w:r>
    </w:p>
    <w:p w:rsidR="001803A1" w:rsidRPr="006707A7" w:rsidRDefault="001803A1" w:rsidP="001803A1">
      <w:pPr>
        <w:pStyle w:val="Tekstpodstawowy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  <w:rPr>
          <w:szCs w:val="24"/>
        </w:rPr>
      </w:pPr>
      <w:r w:rsidRPr="006707A7">
        <w:rPr>
          <w:szCs w:val="24"/>
        </w:rPr>
        <w:t>dokumentację techniczną przeznaczoną dla Zamawiającego,</w:t>
      </w:r>
    </w:p>
    <w:p w:rsidR="001803A1" w:rsidRPr="006707A7" w:rsidRDefault="001803A1" w:rsidP="001803A1">
      <w:pPr>
        <w:pStyle w:val="Tekstpodstawowy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  <w:rPr>
          <w:szCs w:val="24"/>
        </w:rPr>
      </w:pPr>
      <w:r w:rsidRPr="006707A7">
        <w:rPr>
          <w:szCs w:val="24"/>
        </w:rPr>
        <w:t>dokumentację techniczną przeznaczoną dla ośrodka dokumentacji geodezyjnej i kartograficznej.</w:t>
      </w:r>
    </w:p>
    <w:p w:rsidR="001803A1" w:rsidRPr="006707A7" w:rsidRDefault="001803A1" w:rsidP="001803A1">
      <w:pPr>
        <w:pStyle w:val="Tekstpodstawowy"/>
        <w:spacing w:line="240" w:lineRule="auto"/>
        <w:ind w:firstLine="709"/>
        <w:jc w:val="both"/>
        <w:rPr>
          <w:szCs w:val="24"/>
        </w:rPr>
      </w:pPr>
      <w:r w:rsidRPr="006707A7">
        <w:rPr>
          <w:szCs w:val="24"/>
        </w:rPr>
        <w:t xml:space="preserve">Sposób skompletowania dokumentacji, o której mowa w  </w:t>
      </w:r>
      <w:proofErr w:type="spellStart"/>
      <w:r w:rsidRPr="006707A7">
        <w:rPr>
          <w:szCs w:val="24"/>
        </w:rPr>
        <w:t>ppkcie</w:t>
      </w:r>
      <w:proofErr w:type="spellEnd"/>
      <w:r w:rsidRPr="006707A7">
        <w:rPr>
          <w:szCs w:val="24"/>
        </w:rPr>
        <w:t xml:space="preserve"> 3 oraz formę dokumentów należy uzgodnić z ośrodkiem dokumentacji. Zamawiający poda w ST, czy dokumentację tę należy okazać Zamawiającemu do wglądu.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5.5. Pomiar powykonawczy wybudowanej drogi</w:t>
      </w:r>
    </w:p>
    <w:p w:rsidR="001803A1" w:rsidRPr="006707A7" w:rsidRDefault="001803A1" w:rsidP="001803A1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 xml:space="preserve">5.5.1. </w:t>
      </w:r>
      <w:r w:rsidRPr="006707A7">
        <w:rPr>
          <w:rFonts w:ascii="Times New Roman" w:hAnsi="Times New Roman" w:cs="Times New Roman"/>
          <w:sz w:val="24"/>
          <w:szCs w:val="24"/>
        </w:rPr>
        <w:t>Zebranie materiałów i informacji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Wykonawca powinien zapoznać się z zakresem opracowania i uzyskać od Zamawiającego instrukcje dotyczące ewentualnych etapów wykonywania pomiarów powykonawczych.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Pomiary powykonawcze powinny być poprzedzone uzyskaniem z ośrodków dokumentacji geodezyjnej i kartograficznej informacji o rodzaju, położeniu i stanie punktów osnowy geodezyjnej (poziomej i wysokościowej) oraz o mapie zasadniczej i katastralnej.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 przypadku stwierdzenia, że w trakcie realizacji obiektu nie została wykonana bieżąca inwentaryzacja sieci uzbrojenia terenu, należy powiadomić o tym Zamawiającego.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Przy analizie zebranych materiałów i informacji należy ustalić:</w:t>
      </w:r>
    </w:p>
    <w:p w:rsidR="001803A1" w:rsidRPr="006707A7" w:rsidRDefault="001803A1" w:rsidP="001803A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klasy i dokładności istniejących osnów geodezyjnych oraz możliwości wykorzystania ich do pomiarów powykonawczych,</w:t>
      </w:r>
    </w:p>
    <w:p w:rsidR="001803A1" w:rsidRPr="006707A7" w:rsidRDefault="001803A1" w:rsidP="001803A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rodzaje układów współrzędnych i poziomów odniesienia,</w:t>
      </w:r>
    </w:p>
    <w:p w:rsidR="001803A1" w:rsidRPr="006707A7" w:rsidRDefault="001803A1" w:rsidP="001803A1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lastRenderedPageBreak/>
        <w:t>zakres i sposób aktualizacji dokumentów bazowych, znajdujących się w ośrodku dokumentacji o wyniku pomiaru powykonawczego.</w:t>
      </w:r>
    </w:p>
    <w:p w:rsidR="001803A1" w:rsidRPr="006707A7" w:rsidRDefault="001803A1" w:rsidP="001803A1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 xml:space="preserve">5.5.2. </w:t>
      </w:r>
      <w:r w:rsidRPr="006707A7">
        <w:rPr>
          <w:rFonts w:ascii="Times New Roman" w:hAnsi="Times New Roman" w:cs="Times New Roman"/>
          <w:sz w:val="24"/>
          <w:szCs w:val="24"/>
        </w:rPr>
        <w:t>Prace pomiarowe i kameralne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 pierwszej fazie prac należy wykonać: ogólne rozeznanie w terenie, odszukanie punktów istniejącej osnowy geodezyjnej z ustaleniem stanu technicznego tych punktów oraz aktualizacją opisów topograficznych, zbadanie wizur pomiędzy punktami i ewentualne ich oczyszczenie, wstępne rozeznanie odnośnie konieczności uzupełnienia lub zaprojektowania osnowy poziomej III klasy oraz osnowy pomiarowej.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 xml:space="preserve">Następnie należy pomierzyć wznowioną lub założoną osnowę, a następnie wykonać pomiary inwentaryzacyjne, zgodnie z instrukcją G-4 [8]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GUGiK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>, mierząc wszystkie elementy treści mapy zasadniczej oraz treść dodatkową obejmującą: granice ustalone według stanu prawnego, kilometraż dróg, znaki drogowe, punkty referencyjne, obiekty mostowe z rzędnymi wlotu i wylotu, światłem i skrajnią, wszystkie drzewa w pasie drogowym, zabytki i pomniki przyrody, wszystkie ogrodzenia z furtkami i bramami oraz z podziałem na trwałe i nietrwałe, rowy, studnie z ich średnicami, przekroje poprzeczne dróg co 20÷50 m oraz inne elementy według wymagań Zamawiającego.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Prace obliczeniowe należy wykonać przy pomocy sprzętu komputerowego. Wniesienie pomierzonej treści na mapę zasadniczą oraz mapę katastralną należy wykonać metodą klasyczną (kartowaniem i kreśleniem ręcznym) lub przy pomocy plotera.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Wtórnik mapy zasadniczej dla Zamawiającego należy uzupełnić o elementy wymienione w drugim akapicie niniejszego punktu, tą samą techniką z jaką została wykonana mapa (numeryczną względnie analogową).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Dokumentację geodezyjną i kartograficzną należy skompletować zgodnie z przepisami instrukcji 0-3 [4], z podziałem na: akta postępowania przeznaczone dla Wykonawcy, dokumentację techniczną przeznaczoną dla Zamawiającego i dokumentację techniczną przeznaczoną dla ośrodka dokumentacji geodezyjnej i kartograficznej. Sposób skompletowania i formę dokumentacji dla ośrodka dokumentacji należy uzgodnić z ośrodkiem oraz ustalić czy tę dokumentację należy okazać Zamawiającemu do wglądu.</w:t>
      </w:r>
    </w:p>
    <w:p w:rsidR="001803A1" w:rsidRPr="006707A7" w:rsidRDefault="001803A1" w:rsidP="001803A1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 xml:space="preserve">5.5.3. </w:t>
      </w:r>
      <w:r w:rsidRPr="006707A7">
        <w:rPr>
          <w:rFonts w:ascii="Times New Roman" w:hAnsi="Times New Roman" w:cs="Times New Roman"/>
          <w:sz w:val="24"/>
          <w:szCs w:val="24"/>
        </w:rPr>
        <w:t>Dokumentacja dla Zamawiającego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Jeśli Zamawiający nie ustalił inaczej, to należy skompletować dla Zamawiającego następujące materiały: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sprawozdanie techniczne,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wtórnik mapy zasadniczej uzupełniony dodatkową treścią, którą wymieniono w punkcie 5.5.2,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kopie wykazów współrzędnych punktów osnowy oraz wykazy współrzędnych punktów granicznych w postaci dysku i wydruku na papierze,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kopie protokołów przekazania znaków geodezyjnych pod ochronę,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kopie opisów topograficznych,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kopie szkiców polowych,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lastRenderedPageBreak/>
        <w:t>nośnik elektroniczny (dysk) z mapą numeryczną oraz wydruk ploterem tych map, jeżeli mapa realizowana jest numerycznie,</w:t>
      </w:r>
    </w:p>
    <w:p w:rsidR="001803A1" w:rsidRPr="006707A7" w:rsidRDefault="001803A1" w:rsidP="001803A1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inne materiały zgodne z wymaganiami Zamawiającego.</w:t>
      </w:r>
    </w:p>
    <w:p w:rsidR="001803A1" w:rsidRPr="006707A7" w:rsidRDefault="001803A1" w:rsidP="001803A1">
      <w:pPr>
        <w:pStyle w:val="Nagwek1"/>
        <w:rPr>
          <w:sz w:val="24"/>
          <w:szCs w:val="24"/>
        </w:rPr>
      </w:pPr>
      <w:bookmarkStart w:id="65" w:name="_Toc424534470"/>
      <w:bookmarkStart w:id="66" w:name="_Toc46644001"/>
      <w:bookmarkStart w:id="67" w:name="_Toc51995834"/>
      <w:bookmarkStart w:id="68" w:name="_Toc70745916"/>
      <w:bookmarkStart w:id="69" w:name="_Toc113338102"/>
      <w:bookmarkStart w:id="70" w:name="_Toc124213278"/>
      <w:bookmarkStart w:id="71" w:name="_Toc144694240"/>
      <w:bookmarkStart w:id="72" w:name="_Toc144793980"/>
      <w:bookmarkStart w:id="73" w:name="_Toc146429505"/>
      <w:bookmarkStart w:id="74" w:name="_Toc147039497"/>
      <w:bookmarkStart w:id="75" w:name="_Toc161023547"/>
      <w:bookmarkStart w:id="76" w:name="_Toc164048103"/>
      <w:bookmarkStart w:id="77" w:name="_Toc274137175"/>
      <w:r w:rsidRPr="006707A7">
        <w:rPr>
          <w:sz w:val="24"/>
          <w:szCs w:val="24"/>
        </w:rPr>
        <w:t>6. KONTROLA JAKOŚCI ROBÓT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6.1. Ogólne zasady kontroli jakości robót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zasady kontroli jakości robót podano w OST D-M-00.00.00 „Wymagania ogólne” [1] pkt 6.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6.2. Kontrola jakości prac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Kontrola jakości prac pomiarowych powinna obejmować:</w:t>
      </w:r>
    </w:p>
    <w:p w:rsidR="001803A1" w:rsidRPr="006707A7" w:rsidRDefault="001803A1" w:rsidP="001803A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wewnętrzną kontrolę prowadzoną przez Wykonawcę robót geodezyjnych, która powinna zapewniać możliwość śledzenia przebiegu prac, oceniania ich jakości oraz usuwania nieprawidłowości mogących mieć wpływ na kolejne etapy robót,</w:t>
      </w:r>
    </w:p>
    <w:p w:rsidR="001803A1" w:rsidRPr="006707A7" w:rsidRDefault="001803A1" w:rsidP="001803A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kontrolę prowadzoną przez służbę nadzoru (Inżyniera),</w:t>
      </w:r>
    </w:p>
    <w:p w:rsidR="001803A1" w:rsidRPr="006707A7" w:rsidRDefault="001803A1" w:rsidP="001803A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przestrzeganie ogólnych zasad prac określonych w instrukcjach i wytycznych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GUGiK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[3÷10], zgodnie z wymaganiami podanymi w punkcie 5,</w:t>
      </w:r>
    </w:p>
    <w:p w:rsidR="001803A1" w:rsidRPr="006707A7" w:rsidRDefault="001803A1" w:rsidP="001803A1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sporządzenie przez Wykonawcę robót geodezyjnych protokołu z wewnętrznej kontroli robót.</w:t>
      </w:r>
    </w:p>
    <w:p w:rsidR="001803A1" w:rsidRPr="006707A7" w:rsidRDefault="001803A1" w:rsidP="001803A1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Kontrolę należy prowadzić według ogólnych zasad określonych w instrukcjach i wytycznych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GUGiK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[3÷10], zgodnie z wymaganiami podanymi w punkcie 5.4.3.</w:t>
      </w:r>
    </w:p>
    <w:p w:rsidR="001803A1" w:rsidRPr="006707A7" w:rsidRDefault="001803A1" w:rsidP="001803A1">
      <w:pPr>
        <w:pStyle w:val="Nagwek1"/>
        <w:rPr>
          <w:sz w:val="24"/>
          <w:szCs w:val="24"/>
        </w:rPr>
      </w:pPr>
      <w:bookmarkStart w:id="78" w:name="_Toc274137176"/>
      <w:r w:rsidRPr="006707A7">
        <w:rPr>
          <w:sz w:val="24"/>
          <w:szCs w:val="24"/>
        </w:rPr>
        <w:t>7. OBMIAR ROBÓT</w:t>
      </w:r>
      <w:bookmarkEnd w:id="78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7.1. Ogólne zasady obmiaru robót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zasady obmiaru robót podano w OST D-M-00.00.00 „Wymagania ogólne” [1] pkt 7.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7.2. Jednostka obmiarowa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Jednostką obmiarową jest km (kilometr) odtworzonej trasy w terenie.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Przy pomiarach powykonawczych wybudowanej drogi przyjmuje się jednostki: km (kilometr) i ha (hektar).</w:t>
      </w:r>
    </w:p>
    <w:p w:rsidR="001803A1" w:rsidRPr="006707A7" w:rsidRDefault="001803A1" w:rsidP="001803A1">
      <w:pPr>
        <w:pStyle w:val="Nagwek1"/>
        <w:rPr>
          <w:sz w:val="24"/>
          <w:szCs w:val="24"/>
        </w:rPr>
      </w:pPr>
      <w:bookmarkStart w:id="79" w:name="_Toc274137177"/>
      <w:r w:rsidRPr="006707A7">
        <w:rPr>
          <w:sz w:val="24"/>
          <w:szCs w:val="24"/>
        </w:rPr>
        <w:t>8. ODBIÓR ROBÓT</w:t>
      </w:r>
      <w:bookmarkEnd w:id="79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8.1. Ogólne zasady odbioru robót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b/>
          <w:sz w:val="24"/>
          <w:szCs w:val="24"/>
        </w:rPr>
        <w:tab/>
      </w:r>
      <w:r w:rsidRPr="006707A7">
        <w:rPr>
          <w:rFonts w:ascii="Times New Roman" w:hAnsi="Times New Roman" w:cs="Times New Roman"/>
          <w:sz w:val="24"/>
          <w:szCs w:val="24"/>
        </w:rPr>
        <w:t>Ogólne zasady odbioru robót podano w OST D-M-00.00.00 „Wymagania ogólne” [1] pkt 8.</w:t>
      </w:r>
    </w:p>
    <w:p w:rsidR="006707A7" w:rsidRDefault="006707A7" w:rsidP="001803A1">
      <w:pPr>
        <w:pStyle w:val="Nagwek2"/>
        <w:rPr>
          <w:sz w:val="24"/>
          <w:szCs w:val="24"/>
        </w:rPr>
      </w:pP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lastRenderedPageBreak/>
        <w:t>8.2. Sposób odbioru robót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Odbiór robót następuje na podstawie protokołu odbioru oraz dokumentacji technicznej przeznaczonej dla Zamawiającego.</w:t>
      </w:r>
    </w:p>
    <w:p w:rsidR="001803A1" w:rsidRPr="006707A7" w:rsidRDefault="001803A1" w:rsidP="001803A1">
      <w:pPr>
        <w:pStyle w:val="Nagwek1"/>
        <w:rPr>
          <w:sz w:val="24"/>
          <w:szCs w:val="24"/>
        </w:rPr>
      </w:pPr>
      <w:bookmarkStart w:id="80" w:name="_Toc274137178"/>
      <w:r w:rsidRPr="006707A7">
        <w:rPr>
          <w:sz w:val="24"/>
          <w:szCs w:val="24"/>
        </w:rPr>
        <w:t>9. PODSTAWA PŁATNOŚCI</w:t>
      </w:r>
      <w:bookmarkEnd w:id="80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9.1. Ogólne ustalenia dotyczące podstawy płatności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Ogólne ustalenia dotyczące podstawy płatności podano w OST D-M-00.00.00 „Wymagania ogólne” [1] pkt 9.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9.2. Cena jednostki obmiarowej</w:t>
      </w:r>
    </w:p>
    <w:p w:rsidR="001803A1" w:rsidRPr="006707A7" w:rsidRDefault="001803A1" w:rsidP="001803A1">
      <w:pPr>
        <w:tabs>
          <w:tab w:val="left" w:pos="0"/>
        </w:tabs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Cena wykonania robót obejmuje: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zakup, dostarczenie i składowanie potrzebnych materiałów,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koszt zapewnienia niezbędnych czynników produkcji,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zakup i dostarczenie materiałów,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sprawdzenie wyznaczenia punktów głównych osi trasy i punktów wysokościowych,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uzupełnienie osi trasy dodatkowymi punktami,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wyznaczenie dodatkowych punktów wysokościowych,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wyznaczenie zjazdów i uzgodnienie ich z właścicielami nieruchomości,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wyznaczenie przekrojów poprzecznych z ewentualnym wytyczeniem dodatkowych przekrojów,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 xml:space="preserve">wyznaczenie punktów roboczego </w:t>
      </w:r>
      <w:proofErr w:type="spellStart"/>
      <w:r w:rsidRPr="006707A7">
        <w:rPr>
          <w:rFonts w:ascii="Times New Roman" w:hAnsi="Times New Roman" w:cs="Times New Roman"/>
          <w:sz w:val="24"/>
          <w:szCs w:val="24"/>
        </w:rPr>
        <w:t>pikietażu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trasy,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ustawienie łat z wyznaczeniem pochylenia skarp,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6707A7">
        <w:rPr>
          <w:rFonts w:ascii="Times New Roman" w:hAnsi="Times New Roman" w:cs="Times New Roman"/>
          <w:sz w:val="24"/>
          <w:szCs w:val="24"/>
        </w:rPr>
        <w:t>zastabilizowanie</w:t>
      </w:r>
      <w:proofErr w:type="spellEnd"/>
      <w:r w:rsidRPr="006707A7">
        <w:rPr>
          <w:rFonts w:ascii="Times New Roman" w:hAnsi="Times New Roman" w:cs="Times New Roman"/>
          <w:sz w:val="24"/>
          <w:szCs w:val="24"/>
        </w:rPr>
        <w:t xml:space="preserve"> punktów w sposób trwały, ochrona ich przed zniszczeniem i oznakowanie ułatwiające odszukanie i ewentualne odtworzenie,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prace pomiarowe i kameralne przy pomiarze powykonawczym wybudowanej drogi według wymagań dokumentacji technicznej,</w:t>
      </w:r>
    </w:p>
    <w:p w:rsidR="001803A1" w:rsidRPr="006707A7" w:rsidRDefault="001803A1" w:rsidP="001803A1">
      <w:pPr>
        <w:numPr>
          <w:ilvl w:val="0"/>
          <w:numId w:val="13"/>
        </w:num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koszty ośrodków geodezyjnych.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9.3. Sposób rozliczenia robót tymczasowych i prac towarzyszących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ab/>
        <w:t>Cena wykonania robót określonych niniejszą OST obejmuje:</w:t>
      </w:r>
    </w:p>
    <w:p w:rsidR="001803A1" w:rsidRPr="006707A7" w:rsidRDefault="001803A1" w:rsidP="001803A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roboty tymczasowe, które są potrzebne do wykonania robót podstawowych, ale nie są przekazywane Zamawiającemu i są usuwane po wykonaniu robót podstawowych,</w:t>
      </w:r>
    </w:p>
    <w:p w:rsidR="001803A1" w:rsidRPr="006707A7" w:rsidRDefault="001803A1" w:rsidP="001803A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prace towarzyszące, które są niezbędne do wykonania robót podstawowych, niezaliczane do robót tymczasowych, jak geodezyjne wytyczenie robót itd.</w:t>
      </w:r>
    </w:p>
    <w:p w:rsidR="006707A7" w:rsidRDefault="006707A7" w:rsidP="001803A1">
      <w:pPr>
        <w:pStyle w:val="Nagwek1"/>
        <w:rPr>
          <w:sz w:val="24"/>
          <w:szCs w:val="24"/>
        </w:rPr>
      </w:pPr>
      <w:bookmarkStart w:id="81" w:name="_Toc274137179"/>
    </w:p>
    <w:p w:rsidR="006707A7" w:rsidRDefault="006707A7" w:rsidP="001803A1">
      <w:pPr>
        <w:pStyle w:val="Nagwek1"/>
        <w:rPr>
          <w:sz w:val="24"/>
          <w:szCs w:val="24"/>
        </w:rPr>
      </w:pPr>
    </w:p>
    <w:p w:rsidR="006707A7" w:rsidRDefault="006707A7" w:rsidP="001803A1">
      <w:pPr>
        <w:pStyle w:val="Nagwek1"/>
        <w:rPr>
          <w:sz w:val="24"/>
          <w:szCs w:val="24"/>
        </w:rPr>
      </w:pPr>
    </w:p>
    <w:p w:rsidR="006707A7" w:rsidRDefault="006707A7" w:rsidP="001803A1">
      <w:pPr>
        <w:pStyle w:val="Nagwek1"/>
        <w:rPr>
          <w:sz w:val="24"/>
          <w:szCs w:val="24"/>
        </w:rPr>
      </w:pPr>
    </w:p>
    <w:p w:rsidR="001803A1" w:rsidRPr="006707A7" w:rsidRDefault="001803A1" w:rsidP="001803A1">
      <w:pPr>
        <w:pStyle w:val="Nagwek1"/>
        <w:rPr>
          <w:sz w:val="24"/>
          <w:szCs w:val="24"/>
        </w:rPr>
      </w:pPr>
      <w:r w:rsidRPr="006707A7">
        <w:rPr>
          <w:sz w:val="24"/>
          <w:szCs w:val="24"/>
        </w:rPr>
        <w:lastRenderedPageBreak/>
        <w:t>10. PRZEPISY ZWIĄZANE</w:t>
      </w:r>
      <w:bookmarkEnd w:id="81"/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10.1. Ogólne specyfikacje techniczne</w:t>
      </w:r>
    </w:p>
    <w:p w:rsidR="001803A1" w:rsidRPr="006707A7" w:rsidRDefault="001803A1" w:rsidP="001803A1">
      <w:pPr>
        <w:ind w:left="113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1.  D-M-00.00.00</w:t>
      </w:r>
      <w:r w:rsidRPr="006707A7">
        <w:rPr>
          <w:rFonts w:ascii="Times New Roman" w:hAnsi="Times New Roman" w:cs="Times New Roman"/>
          <w:sz w:val="24"/>
          <w:szCs w:val="24"/>
        </w:rPr>
        <w:tab/>
        <w:t xml:space="preserve">           Wymagania ogólne</w:t>
      </w:r>
    </w:p>
    <w:p w:rsidR="001803A1" w:rsidRPr="006707A7" w:rsidRDefault="001803A1" w:rsidP="001803A1">
      <w:pPr>
        <w:pStyle w:val="Nagwek2"/>
        <w:rPr>
          <w:sz w:val="24"/>
          <w:szCs w:val="24"/>
        </w:rPr>
      </w:pPr>
      <w:r w:rsidRPr="006707A7">
        <w:rPr>
          <w:sz w:val="24"/>
          <w:szCs w:val="24"/>
        </w:rPr>
        <w:t>10.2. Inne dokumenty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Ustawa z dnia 17 maja 1989 r. – Prawo geodezyjne i kartograficzne (Dz. U. nr 30, poz. 163 z późniejszymi zmianami)</w:t>
      </w:r>
      <w:r w:rsidRPr="006707A7">
        <w:rPr>
          <w:rFonts w:ascii="Times New Roman" w:hAnsi="Times New Roman" w:cs="Times New Roman"/>
          <w:sz w:val="24"/>
          <w:szCs w:val="24"/>
        </w:rPr>
        <w:br/>
        <w:t>[Instrukcje i wytyczne techniczne byłego Głównego Urzędu Geodezji i Kartografii]: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0-1. Ogólne zasady wykonywania prac geodezyjnych.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0-3. Zasady kompletowania dokumentacji geodezyjnej i kartograficznej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G-1. Pozioma osnowa geodezyjna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G-2. Wysokościowa osnowa geodezyjna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G-3. Geodezyjna obsługa inwestycji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Instrukcja techniczna G-4. Pomiary sytuacyjne i wysokościowe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Wytyczne techniczne G-3.1. Osnowy realizacyjne</w:t>
      </w:r>
    </w:p>
    <w:p w:rsidR="001803A1" w:rsidRPr="006707A7" w:rsidRDefault="001803A1" w:rsidP="001803A1">
      <w:pPr>
        <w:numPr>
          <w:ilvl w:val="0"/>
          <w:numId w:val="14"/>
        </w:numPr>
        <w:tabs>
          <w:tab w:val="clear" w:pos="0"/>
          <w:tab w:val="num" w:pos="-2835"/>
        </w:tabs>
        <w:overflowPunct w:val="0"/>
        <w:autoSpaceDE w:val="0"/>
        <w:autoSpaceDN w:val="0"/>
        <w:adjustRightInd w:val="0"/>
        <w:spacing w:after="0" w:line="240" w:lineRule="auto"/>
        <w:ind w:left="397" w:hanging="39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707A7">
        <w:rPr>
          <w:rFonts w:ascii="Times New Roman" w:hAnsi="Times New Roman" w:cs="Times New Roman"/>
          <w:sz w:val="24"/>
          <w:szCs w:val="24"/>
        </w:rPr>
        <w:t>Wytyczne techniczne G-3.2. Pomiary realizacyjne</w:t>
      </w: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</w:p>
    <w:p w:rsidR="001803A1" w:rsidRPr="006707A7" w:rsidRDefault="001803A1" w:rsidP="001803A1">
      <w:pPr>
        <w:rPr>
          <w:rFonts w:ascii="Times New Roman" w:hAnsi="Times New Roman" w:cs="Times New Roman"/>
          <w:sz w:val="24"/>
          <w:szCs w:val="24"/>
        </w:rPr>
      </w:pPr>
    </w:p>
    <w:p w:rsidR="001803A1" w:rsidRPr="00653D7F" w:rsidRDefault="001803A1" w:rsidP="00351028">
      <w:pPr>
        <w:rPr>
          <w:rFonts w:ascii="Times New Roman" w:hAnsi="Times New Roman" w:cs="Times New Roman"/>
          <w:b/>
          <w:sz w:val="36"/>
          <w:szCs w:val="36"/>
          <w:lang w:eastAsia="pl-PL"/>
        </w:rPr>
      </w:pPr>
    </w:p>
    <w:sectPr w:rsidR="001803A1" w:rsidRPr="00653D7F" w:rsidSect="00F117D2">
      <w:footerReference w:type="default" r:id="rId8"/>
      <w:pgSz w:w="11906" w:h="16838"/>
      <w:pgMar w:top="1417" w:right="1417" w:bottom="1417" w:left="1417" w:header="708" w:footer="6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A7A" w:rsidRDefault="00310A7A" w:rsidP="0036775B">
      <w:pPr>
        <w:spacing w:after="0" w:line="240" w:lineRule="auto"/>
      </w:pPr>
      <w:r>
        <w:separator/>
      </w:r>
    </w:p>
  </w:endnote>
  <w:endnote w:type="continuationSeparator" w:id="0">
    <w:p w:rsidR="00310A7A" w:rsidRDefault="00310A7A" w:rsidP="00367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9114730"/>
      <w:docPartObj>
        <w:docPartGallery w:val="Page Numbers (Bottom of Page)"/>
        <w:docPartUnique/>
      </w:docPartObj>
    </w:sdtPr>
    <w:sdtContent>
      <w:p w:rsidR="00F117D2" w:rsidRDefault="00F117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:rsidR="0036775B" w:rsidRDefault="0036775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A7A" w:rsidRDefault="00310A7A" w:rsidP="0036775B">
      <w:pPr>
        <w:spacing w:after="0" w:line="240" w:lineRule="auto"/>
      </w:pPr>
      <w:r>
        <w:separator/>
      </w:r>
    </w:p>
  </w:footnote>
  <w:footnote w:type="continuationSeparator" w:id="0">
    <w:p w:rsidR="00310A7A" w:rsidRDefault="00310A7A" w:rsidP="00367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8A1574"/>
    <w:lvl w:ilvl="0">
      <w:numFmt w:val="bullet"/>
      <w:lvlText w:val="*"/>
      <w:lvlJc w:val="left"/>
    </w:lvl>
  </w:abstractNum>
  <w:abstractNum w:abstractNumId="1">
    <w:nsid w:val="1E776888"/>
    <w:multiLevelType w:val="singleLevel"/>
    <w:tmpl w:val="F13650F8"/>
    <w:lvl w:ilvl="0">
      <w:start w:val="1"/>
      <w:numFmt w:val="decimal"/>
      <w:lvlText w:val="%1)"/>
      <w:legacy w:legacy="1" w:legacySpace="0" w:legacyIndent="283"/>
      <w:lvlJc w:val="left"/>
      <w:pPr>
        <w:ind w:left="567" w:hanging="283"/>
      </w:pPr>
      <w:rPr>
        <w:rFonts w:ascii="Times New Roman" w:hAnsi="Times New Roman" w:cs="Times New Roman" w:hint="default"/>
      </w:rPr>
    </w:lvl>
  </w:abstractNum>
  <w:abstractNum w:abstractNumId="2">
    <w:nsid w:val="28562AFD"/>
    <w:multiLevelType w:val="singleLevel"/>
    <w:tmpl w:val="FC9A2696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>
    <w:nsid w:val="35135922"/>
    <w:multiLevelType w:val="hybridMultilevel"/>
    <w:tmpl w:val="64E2A5CA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5">
    <w:nsid w:val="38607959"/>
    <w:multiLevelType w:val="hybridMultilevel"/>
    <w:tmpl w:val="4B8C9AF0"/>
    <w:lvl w:ilvl="0" w:tplc="29F85B3C">
      <w:start w:val="1"/>
      <w:numFmt w:val="bullet"/>
      <w:lvlText w:val="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166CF4"/>
    <w:multiLevelType w:val="singleLevel"/>
    <w:tmpl w:val="703E851C"/>
    <w:lvl w:ilvl="0">
      <w:start w:val="2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</w:rPr>
    </w:lvl>
  </w:abstractNum>
  <w:abstractNum w:abstractNumId="7">
    <w:nsid w:val="49ED5069"/>
    <w:multiLevelType w:val="hybridMultilevel"/>
    <w:tmpl w:val="28C8C63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F4C2C"/>
    <w:multiLevelType w:val="hybridMultilevel"/>
    <w:tmpl w:val="F6E2E696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BA185E"/>
    <w:multiLevelType w:val="hybridMultilevel"/>
    <w:tmpl w:val="0414AEB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EF4409"/>
    <w:multiLevelType w:val="hybridMultilevel"/>
    <w:tmpl w:val="AE42B22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3781364"/>
    <w:multiLevelType w:val="hybridMultilevel"/>
    <w:tmpl w:val="0D62C68E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9449AE"/>
    <w:multiLevelType w:val="hybridMultilevel"/>
    <w:tmpl w:val="CE6E063A"/>
    <w:lvl w:ilvl="0" w:tplc="B3DC956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8"/>
  </w:num>
  <w:num w:numId="5">
    <w:abstractNumId w:val="4"/>
  </w:num>
  <w:num w:numId="6">
    <w:abstractNumId w:val="12"/>
  </w:num>
  <w:num w:numId="7">
    <w:abstractNumId w:val="2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10">
    <w:abstractNumId w:val="1"/>
    <w:lvlOverride w:ilvl="0">
      <w:lvl w:ilvl="0">
        <w:start w:val="3"/>
        <w:numFmt w:val="decimal"/>
        <w:lvlText w:val="%1)"/>
        <w:legacy w:legacy="1" w:legacySpace="0" w:legacyIndent="283"/>
        <w:lvlJc w:val="left"/>
        <w:pPr>
          <w:ind w:left="567" w:hanging="283"/>
        </w:pPr>
        <w:rPr>
          <w:rFonts w:ascii="Times New Roman" w:hAnsi="Times New Roman" w:cs="Times New Roman" w:hint="default"/>
        </w:rPr>
      </w:lvl>
    </w:lvlOverride>
  </w:num>
  <w:num w:numId="11">
    <w:abstractNumId w:val="7"/>
  </w:num>
  <w:num w:numId="12">
    <w:abstractNumId w:val="9"/>
  </w:num>
  <w:num w:numId="13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5845"/>
    <w:rsid w:val="00123F95"/>
    <w:rsid w:val="001803A1"/>
    <w:rsid w:val="00233893"/>
    <w:rsid w:val="00267A31"/>
    <w:rsid w:val="0029679B"/>
    <w:rsid w:val="002C0773"/>
    <w:rsid w:val="002F26A0"/>
    <w:rsid w:val="00310A7A"/>
    <w:rsid w:val="00321955"/>
    <w:rsid w:val="00330845"/>
    <w:rsid w:val="00351028"/>
    <w:rsid w:val="0036775B"/>
    <w:rsid w:val="00426CD9"/>
    <w:rsid w:val="00430C78"/>
    <w:rsid w:val="00481525"/>
    <w:rsid w:val="00530FCD"/>
    <w:rsid w:val="005F1D38"/>
    <w:rsid w:val="00636AE2"/>
    <w:rsid w:val="00653D7F"/>
    <w:rsid w:val="006707A7"/>
    <w:rsid w:val="006E68C3"/>
    <w:rsid w:val="00782566"/>
    <w:rsid w:val="00810111"/>
    <w:rsid w:val="0091056D"/>
    <w:rsid w:val="009E5845"/>
    <w:rsid w:val="00A93402"/>
    <w:rsid w:val="00AD2684"/>
    <w:rsid w:val="00AF771B"/>
    <w:rsid w:val="00B83BB9"/>
    <w:rsid w:val="00F117D2"/>
    <w:rsid w:val="00FA0902"/>
    <w:rsid w:val="00FE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03A1"/>
  </w:style>
  <w:style w:type="paragraph" w:styleId="Nagwek1">
    <w:name w:val="heading 1"/>
    <w:basedOn w:val="Normalny"/>
    <w:link w:val="Nagwek1Znak"/>
    <w:uiPriority w:val="9"/>
    <w:qFormat/>
    <w:rsid w:val="009E584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E58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5845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E5845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9E5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E5845"/>
    <w:rPr>
      <w:color w:val="0000FF"/>
      <w:u w:val="single"/>
    </w:rPr>
  </w:style>
  <w:style w:type="character" w:customStyle="1" w:styleId="apple-converted-space">
    <w:name w:val="apple-converted-space"/>
    <w:basedOn w:val="Domylnaczcionkaakapitu"/>
    <w:rsid w:val="009E5845"/>
  </w:style>
  <w:style w:type="paragraph" w:styleId="Akapitzlist">
    <w:name w:val="List Paragraph"/>
    <w:basedOn w:val="Normalny"/>
    <w:uiPriority w:val="34"/>
    <w:qFormat/>
    <w:rsid w:val="00810111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36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6775B"/>
  </w:style>
  <w:style w:type="paragraph" w:styleId="Stopka">
    <w:name w:val="footer"/>
    <w:basedOn w:val="Normalny"/>
    <w:link w:val="StopkaZnak"/>
    <w:uiPriority w:val="99"/>
    <w:unhideWhenUsed/>
    <w:rsid w:val="0036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775B"/>
  </w:style>
  <w:style w:type="paragraph" w:styleId="Tekstdymka">
    <w:name w:val="Balloon Text"/>
    <w:basedOn w:val="Normalny"/>
    <w:link w:val="TekstdymkaZnak"/>
    <w:uiPriority w:val="99"/>
    <w:semiHidden/>
    <w:unhideWhenUsed/>
    <w:rsid w:val="002338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893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uiPriority w:val="39"/>
    <w:rsid w:val="001803A1"/>
    <w:pPr>
      <w:tabs>
        <w:tab w:val="right" w:leader="dot" w:pos="7371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caps/>
      <w:sz w:val="20"/>
      <w:szCs w:val="20"/>
      <w:lang w:eastAsia="pl-PL"/>
    </w:rPr>
  </w:style>
  <w:style w:type="character" w:styleId="Numerstrony">
    <w:name w:val="page number"/>
    <w:basedOn w:val="Domylnaczcionkaakapitu"/>
    <w:rsid w:val="001803A1"/>
  </w:style>
  <w:style w:type="paragraph" w:customStyle="1" w:styleId="Standardowytekst0">
    <w:name w:val="Standardowy.tekst"/>
    <w:rsid w:val="001803A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803A1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803A1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33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2731</Words>
  <Characters>16392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Jerzy Bakalarski</cp:lastModifiedBy>
  <cp:revision>18</cp:revision>
  <cp:lastPrinted>2021-09-30T16:45:00Z</cp:lastPrinted>
  <dcterms:created xsi:type="dcterms:W3CDTF">2017-01-26T22:39:00Z</dcterms:created>
  <dcterms:modified xsi:type="dcterms:W3CDTF">2021-09-30T16:45:00Z</dcterms:modified>
</cp:coreProperties>
</file>